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39" w:rsidRPr="009C20EF" w:rsidRDefault="00667544">
      <w:pPr>
        <w:rPr>
          <w:color w:val="000000" w:themeColor="text1"/>
        </w:rPr>
      </w:pPr>
      <w:r w:rsidRPr="009C20EF">
        <w:rPr>
          <w:color w:val="000000" w:themeColor="text1"/>
        </w:rPr>
        <w:t>Слайд 22 ВОЗ о продолжительности жизни 15-летних</w:t>
      </w:r>
    </w:p>
    <w:p w:rsidR="002F2896" w:rsidRPr="009C20EF" w:rsidRDefault="009F35C5" w:rsidP="00667544">
      <w:pPr>
        <w:numPr>
          <w:ilvl w:val="0"/>
          <w:numId w:val="2"/>
        </w:numPr>
        <w:rPr>
          <w:color w:val="000000" w:themeColor="text1"/>
        </w:rPr>
      </w:pPr>
      <w:r w:rsidRPr="009C20EF">
        <w:rPr>
          <w:color w:val="000000" w:themeColor="text1"/>
        </w:rPr>
        <w:t>ВОЗ публикует данные о продолжительности жизни 15-летних граждан. Люди этого возраста вскоре получат профессиональное образование, станут работниками и затем, если доживут, пенсионерами.</w:t>
      </w:r>
    </w:p>
    <w:p w:rsidR="002F2896" w:rsidRPr="009C20EF" w:rsidRDefault="009F35C5" w:rsidP="00667544">
      <w:pPr>
        <w:numPr>
          <w:ilvl w:val="0"/>
          <w:numId w:val="2"/>
        </w:numPr>
        <w:rPr>
          <w:color w:val="000000" w:themeColor="text1"/>
        </w:rPr>
      </w:pPr>
      <w:r w:rsidRPr="009C20EF">
        <w:rPr>
          <w:color w:val="000000" w:themeColor="text1"/>
        </w:rPr>
        <w:t xml:space="preserve">Статистика показывает, что в России 15-летним судьба отмерила недолгий срок. В особенности это касается мужской половины населения нашей родины. В среднем 15-летнему россиянину остается прожить еще немного больше 50 лет. Это на 12,7 лет меньше, чем в высокоразвитых государствах. </w:t>
      </w:r>
    </w:p>
    <w:p w:rsidR="002F2896" w:rsidRPr="009C20EF" w:rsidRDefault="009F35C5" w:rsidP="00667544">
      <w:pPr>
        <w:numPr>
          <w:ilvl w:val="0"/>
          <w:numId w:val="1"/>
        </w:numPr>
        <w:rPr>
          <w:color w:val="000000" w:themeColor="text1"/>
          <w:sz w:val="32"/>
          <w:szCs w:val="32"/>
        </w:rPr>
      </w:pPr>
      <w:r w:rsidRPr="009C20EF">
        <w:rPr>
          <w:color w:val="000000" w:themeColor="text1"/>
          <w:sz w:val="32"/>
          <w:szCs w:val="32"/>
        </w:rPr>
        <w:t>Если мужчины в нашей стране будут уходить на пенсию в 65 лет, как на Западе, то, при сохранении существующей продолжительности жизни, на пенсии они не просуществуют и года, тогда как мужской части западного населения достанется свыше десятилетия заслуженного отдыха.</w:t>
      </w:r>
    </w:p>
    <w:p w:rsidR="00667544" w:rsidRPr="009C20EF" w:rsidRDefault="00667544" w:rsidP="00667544">
      <w:pPr>
        <w:ind w:left="720"/>
        <w:rPr>
          <w:color w:val="000000" w:themeColor="text1"/>
          <w:sz w:val="32"/>
          <w:szCs w:val="32"/>
        </w:rPr>
      </w:pPr>
    </w:p>
    <w:p w:rsidR="00667544" w:rsidRPr="009C20EF" w:rsidRDefault="00667544" w:rsidP="00667544">
      <w:pPr>
        <w:ind w:left="720"/>
        <w:rPr>
          <w:color w:val="000000" w:themeColor="text1"/>
          <w:sz w:val="32"/>
          <w:szCs w:val="32"/>
        </w:rPr>
      </w:pPr>
      <w:r w:rsidRPr="009C20EF">
        <w:rPr>
          <w:color w:val="000000" w:themeColor="text1"/>
          <w:sz w:val="32"/>
          <w:szCs w:val="32"/>
        </w:rPr>
        <w:t>Слайд 30</w:t>
      </w:r>
    </w:p>
    <w:p w:rsidR="002F2896" w:rsidRPr="009C20EF" w:rsidRDefault="009F35C5" w:rsidP="00667544">
      <w:pPr>
        <w:numPr>
          <w:ilvl w:val="0"/>
          <w:numId w:val="3"/>
        </w:numPr>
        <w:rPr>
          <w:b/>
          <w:color w:val="000000" w:themeColor="text1"/>
          <w:sz w:val="32"/>
          <w:szCs w:val="32"/>
        </w:rPr>
      </w:pPr>
      <w:r w:rsidRPr="009C20EF">
        <w:rPr>
          <w:b/>
          <w:color w:val="000000" w:themeColor="text1"/>
          <w:sz w:val="32"/>
          <w:szCs w:val="32"/>
        </w:rPr>
        <w:t xml:space="preserve">В России возраст здоровой трудоспособности мужчин не дотягивает до пенсионного, чего нет ни в одной крупной развитой стране. </w:t>
      </w:r>
    </w:p>
    <w:p w:rsidR="002F2896" w:rsidRPr="009C20EF" w:rsidRDefault="009F35C5" w:rsidP="00667544">
      <w:pPr>
        <w:numPr>
          <w:ilvl w:val="0"/>
          <w:numId w:val="3"/>
        </w:numPr>
        <w:rPr>
          <w:color w:val="000000" w:themeColor="text1"/>
          <w:sz w:val="32"/>
          <w:szCs w:val="32"/>
        </w:rPr>
      </w:pPr>
      <w:r w:rsidRPr="009C20EF">
        <w:rPr>
          <w:color w:val="000000" w:themeColor="text1"/>
          <w:sz w:val="32"/>
          <w:szCs w:val="32"/>
        </w:rPr>
        <w:t xml:space="preserve">При сохранении существующего положения дел средний российский мужчина будет вынужден работать почти шесть лет в болезненном состоянии, в котором невозможна полноценная трудовая активность. Ситуация, невиданная в странах Запада, где мужчины в среднем выходят на пенсию в работоспособном состоянии, и даже проходящие во многих западных странах пенсионные реформы не изменят этот факт. </w:t>
      </w:r>
      <w:r w:rsidRPr="009C20EF">
        <w:rPr>
          <w:b/>
          <w:bCs/>
          <w:color w:val="000000" w:themeColor="text1"/>
          <w:sz w:val="32"/>
          <w:szCs w:val="32"/>
        </w:rPr>
        <w:t>Исключением являются лишь США, страна с традиционно низкой для Запада продолжительностью жизни, где пенсионный возраст может чуть превысить длительность здоровой трудоспособности</w:t>
      </w:r>
      <w:r w:rsidRPr="009C20EF">
        <w:rPr>
          <w:color w:val="000000" w:themeColor="text1"/>
          <w:sz w:val="32"/>
          <w:szCs w:val="32"/>
        </w:rPr>
        <w:t>, если, конечно, та не вырастет в будущем.</w:t>
      </w:r>
    </w:p>
    <w:p w:rsidR="00667544" w:rsidRPr="009C20EF" w:rsidRDefault="00667544" w:rsidP="00667544">
      <w:pPr>
        <w:ind w:left="720"/>
        <w:rPr>
          <w:color w:val="000000" w:themeColor="text1"/>
          <w:sz w:val="32"/>
          <w:szCs w:val="32"/>
        </w:rPr>
      </w:pPr>
    </w:p>
    <w:p w:rsidR="00947F1D" w:rsidRPr="009C20EF" w:rsidRDefault="00947F1D">
      <w:pPr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</w:pPr>
    </w:p>
    <w:p w:rsidR="00947F1D" w:rsidRPr="009C20EF" w:rsidRDefault="00947F1D">
      <w:p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C20EF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Семь вице-премьеров российского правительства планируется в дальнейшем оценивать по ключевым показателям эффективности </w:t>
      </w:r>
      <w:r w:rsidRPr="009C20EF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lastRenderedPageBreak/>
        <w:t>(KPI). Так власти будут следить за исполнением национальных проектов</w:t>
      </w:r>
      <w:r w:rsidRPr="009C20EF">
        <w:rPr>
          <w:rFonts w:ascii="Arial" w:hAnsi="Arial" w:cs="Arial"/>
          <w:b/>
          <w:color w:val="000000" w:themeColor="text1"/>
          <w:sz w:val="28"/>
          <w:szCs w:val="28"/>
        </w:rPr>
        <w:br/>
      </w:r>
    </w:p>
    <w:p w:rsidR="00947F1D" w:rsidRPr="009C20EF" w:rsidRDefault="00947F1D">
      <w:pPr>
        <w:rPr>
          <w:color w:val="000000" w:themeColor="text1"/>
          <w:sz w:val="24"/>
          <w:szCs w:val="24"/>
        </w:rPr>
      </w:pPr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Ввести KPI для вице-премьеров еще в конце прошлого года поручил президент Владимир Путин, чтобы оценивать промежуточные результаты национальных проектов, сообщает газета «Коммерсантъ».</w:t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Разработкой системы занимались вице-премьер Константин Чуйченко и глава Министерства экономики Максим Орешкин. Они придумали идею ключевых показателей эффективности для семи вице-премьеров — Антона </w:t>
      </w:r>
      <w:proofErr w:type="spellStart"/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Силуанова</w:t>
      </w:r>
      <w:proofErr w:type="spellEnd"/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Максима Акимова, Татьяны Голиковой, Ольги </w:t>
      </w:r>
      <w:proofErr w:type="spellStart"/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Голодец</w:t>
      </w:r>
      <w:proofErr w:type="spellEnd"/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Алексея Гордеева, Дмитрия Козака и Виталия Мутко.</w:t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В их случае </w:t>
      </w:r>
      <w:r w:rsidRPr="009C20EF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KPI будет рассчитываться по двум показателям. Во-первых — по целевым показателям нацпроектов, которыми занимается каждый из вице-премьеров.</w:t>
      </w:r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Работу Виталия Мутко, например, оценят по доле городов с благоприятной городской средой, Максима Акимова — по качеству дорог и числу погибших в ДТП, Дмитрия Козака — по объему инвестиций в промышленность и производительности труда в обработке.</w:t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Вторым методом оценки станут социологические опросы</w:t>
      </w:r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для которых в Минэкономики уже придумали типовые вопросы. Например, оценивая работу Татьяны Голиковой, россияне будут рассказывать, усилилось ли у них за последний год желание завести ребенка. В случае с Антоном </w:t>
      </w:r>
      <w:proofErr w:type="spellStart"/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Силуановым</w:t>
      </w:r>
      <w:proofErr w:type="spellEnd"/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будут спрашивать о том, улучшилась ли в стране экономическая ситуация. Гражданам будут также задавать вопросы об их желании путешествовать по стране или о наличии отечественных продуктов на прилавках.</w:t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В ноябре прошлого года Максим Орешкин рассказывал, что ключевые показатели эффективности планируется установить для всех российских регионов для оценки темпов роста инвестиций.</w:t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В начале июня прошлого года правительство утвердило методические указания по разработке нацпроектов. Подписанный премьером Дмитрием Медведевым документ ввел ответственность за исполнение майского указа президента для министров, глав регионов и их заместителей. Помимо этого в указаниях говорится о значениях целевых показателей по каждому направлению. KPI работы над нацпроектами должны будут составляться с разбивкой по годам.</w:t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  <w:r w:rsidRPr="009C20EF">
        <w:rPr>
          <w:rFonts w:ascii="Arial" w:hAnsi="Arial" w:cs="Arial"/>
          <w:color w:val="000000" w:themeColor="text1"/>
          <w:sz w:val="24"/>
          <w:szCs w:val="24"/>
        </w:rPr>
        <w:br/>
      </w:r>
    </w:p>
    <w:p w:rsidR="00B51E61" w:rsidRPr="009C20EF" w:rsidRDefault="00B51E61" w:rsidP="00B51E61">
      <w:pPr>
        <w:shd w:val="clear" w:color="auto" w:fill="FFFFFF"/>
        <w:spacing w:after="300" w:line="240" w:lineRule="auto"/>
        <w:outlineLvl w:val="1"/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  <w:t>Владимир Путин поставил перед правительством цели по 12 направлениям.</w:t>
      </w:r>
    </w:p>
    <w:p w:rsidR="009F35C5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  <w:t>После инаугурации 7 мая президент Владимир Путин подписал указ, в котором поставил перед правительством цели, достичь которых надо до 2024 года.</w:t>
      </w: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</w:t>
      </w:r>
    </w:p>
    <w:p w:rsidR="009F35C5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lastRenderedPageBreak/>
        <w:t>Для этого разработают национальные проекты по 12 направлениям социально-экономического развития.</w:t>
      </w:r>
      <w:r w:rsidR="009F35C5"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Объем средств на реализацию майского указа составит около 25 триллионов рублей, из которых надо изыскать 8 триллионов. На базе приоритетов, установленных указом, будут переформатированы госпрограммы.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12 национальных проектов — </w:t>
      </w:r>
      <w:proofErr w:type="gram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это</w:t>
      </w:r>
      <w:proofErr w:type="gram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прежде всего информация для бизнеса о том, где и что государство будет делать, куда оно вложит ресурсы и какие условия создаст для частной инициативы. Госслужащие из своих кабинетов не в силах, скажем, добиться роста производительности труда ежегодно на пять процентов, но они могут способствовать созданию условий, чтобы этой проблемой занимался бизнес, а работники не болели, повышали квалификацию и так далее.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</w:pPr>
      <w:r w:rsidRPr="009C20EF">
        <w:rPr>
          <w:rFonts w:ascii="Yeseva One" w:eastAsia="Times New Roman" w:hAnsi="Yeseva One" w:cs="Times New Roman"/>
          <w:b/>
          <w:bCs/>
          <w:color w:val="000000" w:themeColor="text1"/>
          <w:sz w:val="27"/>
          <w:szCs w:val="27"/>
          <w:lang w:eastAsia="ru-RU"/>
        </w:rPr>
        <w:t>Цели и задачи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Так каких показателей надо достичь?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  <w:t>1 Здравоохранение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По итогам диспансеризации 2016 года 1 группу здоровья (не имеют заболеваний, минимальный набор факторов риска их развития) имеют 30,86% населения, 2 группу (высокий риск смерти при скрытом течении болезни) — 18,32%, 3 группу (заболевания, требующие наблюдения врача) — 50,82% населения.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снижение смертности населения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трудоспособного возраста до 350 случаев на 100 тысяч населения;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смертности от болезней системы кровообращения — до 450 случаев;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смертности от новообразований — до 185 случаев;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младенческой смертности — до 4,5 случая на тысячу родившихся детей;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реализация программ борьбы с онкологическими и </w:t>
      </w:r>
      <w:proofErr w:type="gram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сердечно-сосудистыми</w:t>
      </w:r>
      <w:proofErr w:type="gram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заболеваниями;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развитие детского здравоохранения, создание современной инфраструктуры оказания медицинской помощи детям;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формирование системы защиты прав пациентов;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увеличение объема экспорта медицинских услуг не менее чем в четыре раза по сравнению с 2017 годом (до миллиарда долларов в год);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lastRenderedPageBreak/>
        <w:t xml:space="preserve">завершение формирования сети </w:t>
      </w:r>
      <w:proofErr w:type="spell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медорганизаций</w:t>
      </w:r>
      <w:proofErr w:type="spell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первичного звена здравоохранения с использованием геоинформационной системы с учетом необходимости строительства врачебных амбулаторий, фельдшерских и фельдшерско-акушерских пунктов в населенных пунктах с населением от 100 до двух тысяч человек;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та же цель — с учетом использования мобильных медицинских комплексов в населенных пунктах с численностью населения менее 100 человек.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32"/>
          <w:szCs w:val="32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32"/>
          <w:szCs w:val="32"/>
          <w:lang w:eastAsia="ru-RU"/>
        </w:rPr>
        <w:t>2 Образование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вхождение России в число 10 ведущих стран мира по качеству общего образования;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b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color w:val="000000" w:themeColor="text1"/>
          <w:sz w:val="24"/>
          <w:szCs w:val="24"/>
          <w:lang w:eastAsia="ru-RU"/>
        </w:rPr>
        <w:t>обновление содержания и совершенствование методов обучения предметной области «Технология»;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профориентацию;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условий для раннего развития детей до трех лет, реализация программы помощи родителям детей, получающих дошкольное образование в семье;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создание современной и безопасной цифровой образовательной среды;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формирование системы профессиональных конкурсов в целях предоставления гражданам возможностей для профессионального и карьерного роста;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создание условий для развития наставничества, поддержки общественных инициатив и проектов, в том числе в сфере </w:t>
      </w:r>
      <w:proofErr w:type="spell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волонтерства</w:t>
      </w:r>
      <w:proofErr w:type="spell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увеличение не менее чем в два раза количества иностранных граждан, обучающихся в вузах и научных организациях, реализация комплекса мер по трудоустройству лучших из них в России.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36"/>
          <w:szCs w:val="36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36"/>
          <w:szCs w:val="36"/>
          <w:lang w:eastAsia="ru-RU"/>
        </w:rPr>
        <w:t>3 Жилье и городская среда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обеспечение доступным жильем семей со средним достатком,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кардинальное повышение комфортности городской среды, повышение индекса качества городской среды на 30 процентов, сокращение количества городов с неблагоприятной средой в два раза;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механизма прямого участия граждан в формировании комфортной городской среды, увеличение доли граждан, принимающих участие в решении вопросов развития городской среды, до 30 процентов;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lastRenderedPageBreak/>
        <w:t>обеспечение устойчивого сокращения непригодного для проживания жилищного фонда;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развитие рынка ипотечных ценных бумаг, поэтапный переход от привлечения денежных сре</w:t>
      </w:r>
      <w:proofErr w:type="gram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дств дл</w:t>
      </w:r>
      <w:proofErr w:type="gram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я долевого строительства к другим формам финансирования, обеспечивающим защиту прав граждан и снижение рисков для них;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снижение административной нагрузки на застройщиков;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механизмов переселения граждан из непригодного для проживания жилищного фонда, обеспечивающих соблюдение их жилищных прав.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28"/>
          <w:szCs w:val="28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28"/>
          <w:szCs w:val="28"/>
          <w:lang w:eastAsia="ru-RU"/>
        </w:rPr>
        <w:t>4 Экология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  <w:t>эффективное обращение с отходами производства и потребления, включая ликвидацию всех выявленных на 1 января 2018 г. несанкционированных свалок в границах городов;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  <w:t>кардинальное снижение уровня загрязнения атмосферного воздуха в крупных промышленных центрах, в том числе уменьшение не менее чем на 20 процентов совокупного объема выбросов загрязняющих веществ в атмосферный воздух в наиболее загрязненных городах;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повышение качества питьевой воды,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в том числе для жителей городов, не оборудованных современными системами централизованного водоснабжения;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сохранение биологического разнообразия, в том числе посредством создания не менее 24 новых особо охраняемых природных территорий;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ликвидация свалок и рекультивация территорий, на которых они размещены, создание условий для вторичной переработки всех запрещенных к захоронению отходов;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и эффективное функционирование во всех субъектах РФ системы общественного контроля, направленной на выявление и ликвидацию несанкционированных свалок;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переселение редких видов животных;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современной инфраструктуры по безопасному обращению с отходами I и II классов опасности;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ликвидация наиболее опасных объектов накопленного экологического вреда в России;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lastRenderedPageBreak/>
        <w:t>модернизация систем водоснабжения с использованием перспективных технологий водоподготовки, включая технологии, разработанные в оборонно-промышленном комплексе;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реализация проекта, направленного на сокращение в три раза доли загрязненных сточных вод, отводимых в реку Волгу, устойчивое функционирование водохозяйственного комплекса Нижней Волги и сохранение экосистемы Волго-</w:t>
      </w:r>
      <w:proofErr w:type="spell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Ахтубинской</w:t>
      </w:r>
      <w:proofErr w:type="spell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поймы;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proofErr w:type="gram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очистка от мусора берегов и прибрежной акватории озер Байкал, Телецкое, Ладожское, Онежское и рек Волги, Дона, Оби, Енисея, Амура, Урала, Печоры;</w:t>
      </w:r>
      <w:proofErr w:type="gramEnd"/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инфраструктуры для экотуризма в национальных парках, воспроизводство лесов на всех участках вырубленных и погибших лесных насаждений.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  <w:t>5 Автодороги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увеличение доли автодорог регионального значения, соответствующих нормативам, в их общей протяженности не менее чем до 50 процентов;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снижение доли перегруженных автодорог федерального и регионального значения в их общей протяженности на 10 процентов;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снижение смертности в ДТП в 3,5 раза по сравнению с 2017 годом;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внедрение общедоступной информационной системы </w:t>
      </w:r>
      <w:proofErr w:type="gram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контроля за</w:t>
      </w:r>
      <w:proofErr w:type="gram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формированием и использованием средств дорожных фондов всех уровней (в 2019 году);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внедрение новых технических требований и стандартов обустройства автодорог, в том числе на основе цифровых технологий, направленных на устранение мест концентрации ДТП;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внедрение автоматизированных и роботизированных технологий организации дорожного движения и </w:t>
      </w:r>
      <w:proofErr w:type="gram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контроля за</w:t>
      </w:r>
      <w:proofErr w:type="gram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соблюдением Правил дорожного движения.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40"/>
          <w:szCs w:val="40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40"/>
          <w:szCs w:val="40"/>
          <w:lang w:eastAsia="ru-RU"/>
        </w:rPr>
        <w:t>6 Рынок труда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eastAsia="ru-RU"/>
        </w:rPr>
        <w:t>рост производительности</w:t>
      </w:r>
      <w:r w:rsidRPr="009C20EF"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  <w:t xml:space="preserve"> на средних и крупных предприятиях базовых </w:t>
      </w:r>
      <w:proofErr w:type="spellStart"/>
      <w:r w:rsidRPr="009C20EF"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  <w:t>несырьевых</w:t>
      </w:r>
      <w:proofErr w:type="spellEnd"/>
      <w:r w:rsidRPr="009C20EF"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  <w:t xml:space="preserve"> отраслей экономики не ниже 5 процентов в год;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  <w:t>стимулирование внедрения передовых управленческих, организационных и технологических решений для повышения производительности труда и модернизации фондов, в том числе через предоставление налоговых преференций;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  <w:lastRenderedPageBreak/>
        <w:t>сокращение административных ограничений, препятствующих росту производительности, а также замещение устаревших рабочих мест;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8"/>
          <w:szCs w:val="28"/>
          <w:lang w:eastAsia="ru-RU"/>
        </w:rPr>
        <w:t>формирование системы подготовки кадров, направленной на обучение основам повышения производительности труда, в том числе через цифровые технологии.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  <w:t>7 Наука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 xml:space="preserve">обеспечение присутствия </w:t>
      </w:r>
      <w:proofErr w:type="spellStart"/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Россиив</w:t>
      </w:r>
      <w:proofErr w:type="spellEnd"/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числе</w:t>
      </w:r>
      <w:proofErr w:type="gramEnd"/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 xml:space="preserve"> пяти ведущих стран мира,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proofErr w:type="gram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осуществляющих научные исследования и разработки в приоритетных областях;</w:t>
      </w:r>
      <w:proofErr w:type="gramEnd"/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обеспечение привлекательности работы в России для российских и зарубежных ведущих ученых и молодых перспективных исследователей;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опережающее увеличение внутренних затрат на научные исследования и разработки за счет всех источников по сравнению с ростом внутреннего валового продукта;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передовой инфраструктуры научных исследований и разработок, инновационной деятельности, включая создание и развитие сети уникальных научных установок класса «</w:t>
      </w:r>
      <w:proofErr w:type="spell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мегасайенс</w:t>
      </w:r>
      <w:proofErr w:type="spell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»;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Должны быть созданы не менее 15 научно-образовательных центров мирового уровня на основе интеграции университетов и научных организаций и их кооперации с компаниями реального сектора экономики Российской Федерации.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обновление не менее половины приборной базы ведущих организаций, выполняющих научные исследования и разработки;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научных центров мирового уровня, включая сеть международных математических центров и центров геномных исследований;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  <w:t>8 Цифровая экономика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увеличение затрат на развитие цифровой экономики не менее чем в три раза по сравнению с 2017 годом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использование преимущественно отечественного программного обеспечения органами власти и местного самоуправления;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обеспечение информационной безопасности на основе отечественных разработок при передаче, обработке и хранении данных;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внедрение цифровых технологий и платформенных решений в сферах государственного управления и оказания </w:t>
      </w:r>
      <w:proofErr w:type="spell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госуслуг</w:t>
      </w:r>
      <w:proofErr w:type="spell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lastRenderedPageBreak/>
        <w:t>преобразование здравоохранения, образования, промышленности, сельского хозяйства, строительства, городского хозяйства, транспортной и энергетической инфраструктуры, финансовых услуг посредством внедрения цифровых технологий и платформенных решений.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  <w:t>9 Культура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укрепление российской гражданской идентичности на основе духовно-нравственных и культурных ценностей народов;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(реконструкция) культурно-образовательных и музейных комплексов, включающих в себя концертные залы, театральные, музыкальные, хореографические и другие творческие школы, а также выставочные пространства;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обеспечение детских музыкальных, художественных, хореографических школ, училищ и школ искусств необходимыми инструментами, оборудованием и материалами;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создание национального молодежного симфонического оркестра;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(реконструкция) культурно-досуговых организаций клубного типа в сельских поселениях, создание музейных комплексов, развитие муниципальных библиотек;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создания условий для показа национальных кинофильмов в кинозалах в городах с населением до 500 тысяч человек;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реконструкция и капремонт региональных и муниципальных театров юного зрителя и кукольных театров;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поддержка добровольческих движений, в том числе в сфере сохранения культурного наследия народов РФ.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  <w:t>10 Малый бизнес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упрощение налоговой отчетности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цифровой платформы, ориентированной на поддержку производственной и сбытовой деятельности субъектов малого и среднего предпринимательства;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совершенствование системы закупок крупнейшими заказчиками у субъектов малого и среднего бизнеса;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упрощение доступа к льготному финансированию,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в том числе ежегодное увеличение объема льготных кредитов;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lastRenderedPageBreak/>
        <w:t xml:space="preserve">модернизация системы поддержки экспортеров, являющихся субъектами малого и среднего предпринимательства, увеличение их доли в общем объеме </w:t>
      </w:r>
      <w:proofErr w:type="spell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несырьевого</w:t>
      </w:r>
      <w:proofErr w:type="spell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экспорта до 10 процентов;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системы поддержки фермеров и развитие сельской кооперации;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создание нового режима налогообложения </w:t>
      </w:r>
      <w:proofErr w:type="spell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самозанятых</w:t>
      </w:r>
      <w:proofErr w:type="spell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граждан, предусматривающего передачу информации о продажах в налоговые органы в автоматическом режиме, освобождение от обязанности представлять отчетность, уплата единого платежа с выручки, включающего в себя страховые взносы.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  <w:t>11 Сотрудничество и экспорт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формирование в обрабатывающей промышленности, сельском хозяйстве, сфере услуг глобальных конкурентоспособных </w:t>
      </w:r>
      <w:proofErr w:type="spell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несырьевых</w:t>
      </w:r>
      <w:proofErr w:type="spell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секторов, общая доля экспорта товаров (работ, услуг) которых составит не менее 20 процентов ВВП;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достижение объема экспорта (в стоимостном выражении) </w:t>
      </w:r>
      <w:proofErr w:type="spellStart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несырьевых</w:t>
      </w:r>
      <w:proofErr w:type="spellEnd"/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неэнергетических товаров в размере 250 миллиардов долларов в год, в том числе продукции машиностроения — 50 миллиардов долларов и продукции агропромышленного комплекса — 45 миллиардов долларов;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достижение объема экспорта услуг из России в размере 100 миллиардов долларов в год;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формирование эффективной системы разделения труда и производственной кооперации в рамках Евразийского экономического союза в целях увеличения объема торговли между государствами — членами Союза не менее чем в полтора раза и обеспечения роста объема накопленных взаимных инвестиций в полтора раза.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ориентация промышленной, аграрной и торговой политики, включая применяемые механизмы государственной поддержки, на достижение международной конкурентоспособности российских товаров (работ, услуг) в целях обеспечения их присутствия на внешних рынках;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сокращение административных процедур и барьеров в сфере международной торговли, включая отмену избыточных требований при лицензировании экспорта и осуществлении валютного контроля;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организация к 2021 году взаимодействия субъектов международной торговли с контролирующими органами по принципу «одного окна»;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устранение логистических ограничений при экспорте товаров с использованием железнодорожного, автомобильного и морского транспорта, а также строительство (модернизация) пунктов пропуска через государственную границу;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создание единой системы институтов продвижения экспорта, модернизация торговых представительств за рубежом;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lastRenderedPageBreak/>
        <w:t>завершение формирования в рамках ЕАЭС общих рынков товаров, услуг, капитала и рабочей силы,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включая окончательное устранение барьеров, ограничений и отмену изъятий в экономическом сотрудничестве, при одновременном активном использовании механизмов совместной проектной деятельности.</w:t>
      </w:r>
    </w:p>
    <w:p w:rsidR="00B51E61" w:rsidRPr="009C20EF" w:rsidRDefault="00B51E61" w:rsidP="00B51E61">
      <w:pPr>
        <w:shd w:val="clear" w:color="auto" w:fill="FFFFFF"/>
        <w:spacing w:before="600" w:after="300" w:line="240" w:lineRule="auto"/>
        <w:outlineLvl w:val="2"/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</w:pPr>
      <w:r w:rsidRPr="009C20EF">
        <w:rPr>
          <w:rFonts w:ascii="Yeseva One" w:eastAsia="Times New Roman" w:hAnsi="Yeseva One" w:cs="Times New Roman"/>
          <w:color w:val="000000" w:themeColor="text1"/>
          <w:sz w:val="27"/>
          <w:szCs w:val="27"/>
          <w:lang w:eastAsia="ru-RU"/>
        </w:rPr>
        <w:t>12 Магистральная инфраструктура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сокращение времени перевозки контейнеров железнодорожным транспортом, в частности с Дальнего Востока до западной границы до семи дней, и увеличения объема транзитных перевозок контейнеров в четыре раза;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увеличения пропускной способности Байкало-Амурской и Транссибирской железнодорожных магистралей в полтора раза — до 180 миллионов тонн;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b/>
          <w:bCs/>
          <w:color w:val="000000" w:themeColor="text1"/>
          <w:sz w:val="24"/>
          <w:szCs w:val="24"/>
          <w:lang w:eastAsia="ru-RU"/>
        </w:rPr>
        <w:t>реконструкция инфраструктуры региональных аэропортов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и расширение сети межрегиональных регулярных пассажирских авиамаршрутов, минуя Москву, до 50 процентов от общего числа внутренних регулярных авиамаршрутов;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строительство и модернизация российских участков автодорог, относящихся к международному транспортному маршруту «Европа — Западный Китай»;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увеличение мощностей морских портов, включая порты Дальневосточного, Северо-Западного, Волго-Каспийского и Азово-Черноморского бассейнов;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увеличение пропускной способности железнодорожных подходов к морским портам Азово-Черноморского бассейна;</w:t>
      </w:r>
    </w:p>
    <w:p w:rsidR="00B51E61" w:rsidRPr="009C20EF" w:rsidRDefault="00B51E61" w:rsidP="00B51E61">
      <w:pP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гарантированное обеспечение доступной электроэнергией, в том числе за счет развития централизованных энергосистем, в соответствии с потребностями социально-экономического развития, развитие распределенной генерации, в том числе на основе возобновляемых источников энергии.</w:t>
      </w:r>
      <w:r w:rsidRPr="009C20EF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br/>
        <w:t>Российская газета — Неделя №7568 (105).</w:t>
      </w:r>
      <w:bookmarkStart w:id="0" w:name="_GoBack"/>
      <w:bookmarkEnd w:id="0"/>
    </w:p>
    <w:p w:rsidR="00667544" w:rsidRPr="009C20EF" w:rsidRDefault="00667544">
      <w:pPr>
        <w:rPr>
          <w:color w:val="000000" w:themeColor="text1"/>
          <w:sz w:val="24"/>
          <w:szCs w:val="24"/>
        </w:rPr>
      </w:pPr>
    </w:p>
    <w:sectPr w:rsidR="00667544" w:rsidRPr="009C20EF" w:rsidSect="009C20EF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eseva One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2278D"/>
    <w:multiLevelType w:val="hybridMultilevel"/>
    <w:tmpl w:val="06506564"/>
    <w:lvl w:ilvl="0" w:tplc="08E20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12CC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7C13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6D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9463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0AE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E4B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28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EFF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1806F4D"/>
    <w:multiLevelType w:val="hybridMultilevel"/>
    <w:tmpl w:val="71924F6C"/>
    <w:lvl w:ilvl="0" w:tplc="47607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20A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06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B88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AE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67F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72D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E0A7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0AD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34517DB"/>
    <w:multiLevelType w:val="hybridMultilevel"/>
    <w:tmpl w:val="D1FC4C72"/>
    <w:lvl w:ilvl="0" w:tplc="01BE4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589E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BEA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2E8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E2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4C5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3C5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60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2E3D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44"/>
    <w:rsid w:val="00175739"/>
    <w:rsid w:val="002F2896"/>
    <w:rsid w:val="00667544"/>
    <w:rsid w:val="00947F1D"/>
    <w:rsid w:val="009C20EF"/>
    <w:rsid w:val="009F35C5"/>
    <w:rsid w:val="00B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51E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51E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1E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1E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51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1E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51E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51E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1E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1E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51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1E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103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53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8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9697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29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20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2767</Words>
  <Characters>15777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коря</dc:creator>
  <cp:lastModifiedBy>user</cp:lastModifiedBy>
  <cp:revision>3</cp:revision>
  <cp:lastPrinted>2019-01-23T07:51:00Z</cp:lastPrinted>
  <dcterms:created xsi:type="dcterms:W3CDTF">2019-01-23T03:50:00Z</dcterms:created>
  <dcterms:modified xsi:type="dcterms:W3CDTF">2019-01-23T07:51:00Z</dcterms:modified>
</cp:coreProperties>
</file>